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A989E" w14:textId="77777777" w:rsidR="00C8340B" w:rsidRDefault="00000000">
      <w:pPr>
        <w:jc w:val="center"/>
      </w:pPr>
      <w:r>
        <w:rPr>
          <w:b/>
          <w:sz w:val="32"/>
        </w:rPr>
        <w:t>ARRIVE 2.0 Author Checklist</w:t>
      </w:r>
    </w:p>
    <w:p w14:paraId="2DDDA829" w14:textId="77777777" w:rsidR="00C8340B" w:rsidRDefault="00000000">
      <w:pPr>
        <w:jc w:val="center"/>
      </w:pPr>
      <w:r>
        <w:rPr>
          <w:sz w:val="20"/>
        </w:rPr>
        <w:t>Manuscript: Arginine Promotes Antler Reserve Mesenchymal Cell Proliferation and Chondrogenesis via Altered Wnt/beta-catenin and mTOR Signaling</w:t>
      </w:r>
    </w:p>
    <w:p w14:paraId="2B8900AA" w14:textId="77777777" w:rsidR="00C8340B" w:rsidRDefault="00000000">
      <w:pPr>
        <w:jc w:val="center"/>
      </w:pPr>
      <w:r>
        <w:rPr>
          <w:i/>
        </w:rPr>
        <w:t>Prepared for proof-stage response to animal-welfare and ARRIVE reporting comments</w:t>
      </w:r>
    </w:p>
    <w:p w14:paraId="41EB5672" w14:textId="77777777" w:rsidR="00C8340B" w:rsidRDefault="00000000">
      <w:pPr>
        <w:spacing w:after="120"/>
      </w:pPr>
      <w:r>
        <w:rPr>
          <w:i/>
          <w:sz w:val="17"/>
        </w:rPr>
        <w:t>Note: Section names are provided for the current proof version. Update page/line numbers after inserting the revised animal-welfare paragraph into the final proof.</w:t>
      </w: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232"/>
        <w:gridCol w:w="4320"/>
        <w:gridCol w:w="1296"/>
        <w:gridCol w:w="7200"/>
      </w:tblGrid>
      <w:tr w:rsidR="00C8340B" w14:paraId="0E0F0DFD" w14:textId="77777777">
        <w:trPr>
          <w:tblHeader/>
          <w:jc w:val="center"/>
        </w:trPr>
        <w:tc>
          <w:tcPr>
            <w:tcW w:w="2232" w:type="dxa"/>
            <w:shd w:val="clear" w:color="auto" w:fill="D9EAF7"/>
            <w:vAlign w:val="center"/>
          </w:tcPr>
          <w:p w14:paraId="7C602156" w14:textId="77777777" w:rsidR="00C8340B" w:rsidRDefault="00000000">
            <w:pPr>
              <w:spacing w:after="0"/>
            </w:pPr>
            <w:r>
              <w:rPr>
                <w:b/>
                <w:sz w:val="17"/>
              </w:rPr>
              <w:t>ARRIVE set / item</w:t>
            </w:r>
          </w:p>
        </w:tc>
        <w:tc>
          <w:tcPr>
            <w:tcW w:w="4320" w:type="dxa"/>
            <w:shd w:val="clear" w:color="auto" w:fill="D9EAF7"/>
            <w:vAlign w:val="center"/>
          </w:tcPr>
          <w:p w14:paraId="0EEBDCDA" w14:textId="77777777" w:rsidR="00C8340B" w:rsidRDefault="00000000">
            <w:pPr>
              <w:spacing w:after="0"/>
            </w:pPr>
            <w:r>
              <w:rPr>
                <w:b/>
                <w:sz w:val="17"/>
              </w:rPr>
              <w:t>Recommendation</w:t>
            </w:r>
          </w:p>
        </w:tc>
        <w:tc>
          <w:tcPr>
            <w:tcW w:w="1296" w:type="dxa"/>
            <w:shd w:val="clear" w:color="auto" w:fill="D9EAF7"/>
            <w:vAlign w:val="center"/>
          </w:tcPr>
          <w:p w14:paraId="09844D5F" w14:textId="77777777" w:rsidR="00C8340B" w:rsidRDefault="00000000">
            <w:pPr>
              <w:spacing w:after="0"/>
            </w:pPr>
            <w:r>
              <w:rPr>
                <w:b/>
                <w:sz w:val="17"/>
              </w:rPr>
              <w:t>Reported?</w:t>
            </w:r>
          </w:p>
        </w:tc>
        <w:tc>
          <w:tcPr>
            <w:tcW w:w="7200" w:type="dxa"/>
            <w:shd w:val="clear" w:color="auto" w:fill="D9EAF7"/>
            <w:vAlign w:val="center"/>
          </w:tcPr>
          <w:p w14:paraId="3398F580" w14:textId="77777777" w:rsidR="00C8340B" w:rsidRDefault="00000000">
            <w:pPr>
              <w:spacing w:after="0"/>
            </w:pPr>
            <w:r>
              <w:rPr>
                <w:b/>
                <w:sz w:val="17"/>
              </w:rPr>
              <w:t>Manuscript location / details</w:t>
            </w:r>
          </w:p>
        </w:tc>
      </w:tr>
      <w:tr w:rsidR="00C8340B" w14:paraId="53501CC9" w14:textId="77777777">
        <w:trPr>
          <w:jc w:val="center"/>
        </w:trPr>
        <w:tc>
          <w:tcPr>
            <w:tcW w:w="2232" w:type="dxa"/>
            <w:shd w:val="clear" w:color="auto" w:fill="EAF3E8"/>
          </w:tcPr>
          <w:p w14:paraId="72985842" w14:textId="77777777" w:rsidR="00C8340B" w:rsidRDefault="00000000">
            <w:pPr>
              <w:spacing w:after="0"/>
            </w:pPr>
            <w:r>
              <w:rPr>
                <w:b/>
                <w:sz w:val="16"/>
              </w:rPr>
              <w:t>Essential 10</w:t>
            </w:r>
            <w:r>
              <w:rPr>
                <w:b/>
                <w:sz w:val="16"/>
              </w:rPr>
              <w:br/>
              <w:t>1. Study design</w:t>
            </w:r>
          </w:p>
        </w:tc>
        <w:tc>
          <w:tcPr>
            <w:tcW w:w="4320" w:type="dxa"/>
          </w:tcPr>
          <w:p w14:paraId="597EC267" w14:textId="77777777" w:rsidR="00C8340B" w:rsidRDefault="00000000">
            <w:pPr>
              <w:spacing w:after="0"/>
            </w:pPr>
            <w:r>
              <w:rPr>
                <w:sz w:val="16"/>
              </w:rPr>
              <w:t>For each experiment, give brief details of study groups, experimental unit, and a time-line diagram or description.</w:t>
            </w:r>
          </w:p>
        </w:tc>
        <w:tc>
          <w:tcPr>
            <w:tcW w:w="1296" w:type="dxa"/>
          </w:tcPr>
          <w:p w14:paraId="6EF4CEF1" w14:textId="77777777" w:rsidR="00C8340B" w:rsidRDefault="00000000">
            <w:pPr>
              <w:spacing w:after="0"/>
            </w:pPr>
            <w:r>
              <w:rPr>
                <w:sz w:val="16"/>
              </w:rPr>
              <w:t>Yes</w:t>
            </w:r>
          </w:p>
        </w:tc>
        <w:tc>
          <w:tcPr>
            <w:tcW w:w="7200" w:type="dxa"/>
          </w:tcPr>
          <w:p w14:paraId="40B3F879" w14:textId="77777777" w:rsidR="00C8340B" w:rsidRDefault="00000000">
            <w:pPr>
              <w:spacing w:after="0"/>
            </w:pPr>
            <w:r>
              <w:rPr>
                <w:sz w:val="16"/>
              </w:rPr>
              <w:t>Methods 2.1. Sixteen healthy four-year-old male sika deer were randomly allocated to CON and Arg groups (n = 8/group). The trial lasted 8 weeks after hard antler removal, including a 1-week adaptation phase and a 7-week formal treatment phase. In vitro RMC experiments and omics analyses are described in Methods 2.2-2.9.</w:t>
            </w:r>
          </w:p>
        </w:tc>
      </w:tr>
      <w:tr w:rsidR="00C8340B" w14:paraId="7D9F75B5" w14:textId="77777777">
        <w:trPr>
          <w:jc w:val="center"/>
        </w:trPr>
        <w:tc>
          <w:tcPr>
            <w:tcW w:w="2232" w:type="dxa"/>
            <w:shd w:val="clear" w:color="auto" w:fill="EAF3E8"/>
          </w:tcPr>
          <w:p w14:paraId="436D3B43" w14:textId="77777777" w:rsidR="00C8340B" w:rsidRDefault="00000000">
            <w:pPr>
              <w:spacing w:after="0"/>
            </w:pPr>
            <w:r>
              <w:rPr>
                <w:b/>
                <w:sz w:val="16"/>
              </w:rPr>
              <w:t>Essential 10</w:t>
            </w:r>
            <w:r>
              <w:rPr>
                <w:b/>
                <w:sz w:val="16"/>
              </w:rPr>
              <w:br/>
              <w:t>2. Sample size</w:t>
            </w:r>
          </w:p>
        </w:tc>
        <w:tc>
          <w:tcPr>
            <w:tcW w:w="4320" w:type="dxa"/>
          </w:tcPr>
          <w:p w14:paraId="508756ED" w14:textId="77777777" w:rsidR="00C8340B" w:rsidRDefault="00000000">
            <w:pPr>
              <w:spacing w:after="0"/>
            </w:pPr>
            <w:r>
              <w:rPr>
                <w:sz w:val="16"/>
              </w:rPr>
              <w:t>Explain how sample sizes were decided and give the number of independent replications.</w:t>
            </w:r>
          </w:p>
        </w:tc>
        <w:tc>
          <w:tcPr>
            <w:tcW w:w="1296" w:type="dxa"/>
          </w:tcPr>
          <w:p w14:paraId="731E96EA" w14:textId="76282B9E" w:rsidR="00C8340B" w:rsidRDefault="00000000">
            <w:pPr>
              <w:spacing w:after="0"/>
            </w:pPr>
            <w:r>
              <w:rPr>
                <w:sz w:val="16"/>
              </w:rPr>
              <w:t>Yes</w:t>
            </w:r>
          </w:p>
        </w:tc>
        <w:tc>
          <w:tcPr>
            <w:tcW w:w="7200" w:type="dxa"/>
          </w:tcPr>
          <w:p w14:paraId="77908085" w14:textId="77777777" w:rsidR="00C8340B" w:rsidRDefault="00000000">
            <w:pPr>
              <w:spacing w:after="0"/>
            </w:pPr>
            <w:r>
              <w:rPr>
                <w:sz w:val="16"/>
              </w:rPr>
              <w:t>Methods 2.1 reports animal numbers (n = 8/group). In vitro assays report at least three independent experiments or biological replicates where applicable. If space permits, add that animal number was constrained by deer availability and ethics/3R considerations, while maintaining sufficient animals for preliminary mechanistic comparison.</w:t>
            </w:r>
          </w:p>
        </w:tc>
      </w:tr>
      <w:tr w:rsidR="00C8340B" w14:paraId="52CB30B9" w14:textId="77777777">
        <w:trPr>
          <w:jc w:val="center"/>
        </w:trPr>
        <w:tc>
          <w:tcPr>
            <w:tcW w:w="2232" w:type="dxa"/>
            <w:shd w:val="clear" w:color="auto" w:fill="EAF3E8"/>
          </w:tcPr>
          <w:p w14:paraId="6973A9A5" w14:textId="77777777" w:rsidR="00C8340B" w:rsidRDefault="00000000">
            <w:pPr>
              <w:spacing w:after="0"/>
            </w:pPr>
            <w:r>
              <w:rPr>
                <w:b/>
                <w:sz w:val="16"/>
              </w:rPr>
              <w:t>Essential 10</w:t>
            </w:r>
            <w:r>
              <w:rPr>
                <w:b/>
                <w:sz w:val="16"/>
              </w:rPr>
              <w:br/>
              <w:t>3. Inclusion and exclusion criteria</w:t>
            </w:r>
          </w:p>
        </w:tc>
        <w:tc>
          <w:tcPr>
            <w:tcW w:w="4320" w:type="dxa"/>
          </w:tcPr>
          <w:p w14:paraId="154019C0" w14:textId="77777777" w:rsidR="00C8340B" w:rsidRDefault="00000000">
            <w:pPr>
              <w:spacing w:after="0"/>
            </w:pPr>
            <w:r>
              <w:rPr>
                <w:sz w:val="16"/>
              </w:rPr>
              <w:t>Describe inclusion/exclusion criteria and any exclusions during analysis.</w:t>
            </w:r>
          </w:p>
        </w:tc>
        <w:tc>
          <w:tcPr>
            <w:tcW w:w="1296" w:type="dxa"/>
          </w:tcPr>
          <w:p w14:paraId="5728A96C" w14:textId="77777777" w:rsidR="00C8340B" w:rsidRDefault="00000000">
            <w:pPr>
              <w:spacing w:after="0"/>
            </w:pPr>
            <w:r>
              <w:rPr>
                <w:sz w:val="16"/>
              </w:rPr>
              <w:t>Yes</w:t>
            </w:r>
          </w:p>
        </w:tc>
        <w:tc>
          <w:tcPr>
            <w:tcW w:w="7200" w:type="dxa"/>
          </w:tcPr>
          <w:p w14:paraId="4DF889CC" w14:textId="77777777" w:rsidR="00C8340B" w:rsidRDefault="00000000">
            <w:pPr>
              <w:spacing w:after="0"/>
            </w:pPr>
            <w:r>
              <w:rPr>
                <w:sz w:val="16"/>
              </w:rPr>
              <w:t>Methods 2.1. Healthy four-year-old male sika deer with similar body weight and the same antler casting date were selected. Revised Methods should state that no animals were excluded and all collected samples were included unless a technical failure occurred.</w:t>
            </w:r>
          </w:p>
        </w:tc>
      </w:tr>
      <w:tr w:rsidR="00C8340B" w14:paraId="5A61F140" w14:textId="77777777">
        <w:trPr>
          <w:jc w:val="center"/>
        </w:trPr>
        <w:tc>
          <w:tcPr>
            <w:tcW w:w="2232" w:type="dxa"/>
            <w:shd w:val="clear" w:color="auto" w:fill="EAF3E8"/>
          </w:tcPr>
          <w:p w14:paraId="58190C56" w14:textId="77777777" w:rsidR="00C8340B" w:rsidRDefault="00000000">
            <w:pPr>
              <w:spacing w:after="0"/>
            </w:pPr>
            <w:r>
              <w:rPr>
                <w:b/>
                <w:sz w:val="16"/>
              </w:rPr>
              <w:t>Essential 10</w:t>
            </w:r>
            <w:r>
              <w:rPr>
                <w:b/>
                <w:sz w:val="16"/>
              </w:rPr>
              <w:br/>
              <w:t>4. Randomisation</w:t>
            </w:r>
          </w:p>
        </w:tc>
        <w:tc>
          <w:tcPr>
            <w:tcW w:w="4320" w:type="dxa"/>
          </w:tcPr>
          <w:p w14:paraId="53FB24FE" w14:textId="77777777" w:rsidR="00C8340B" w:rsidRDefault="00000000">
            <w:pPr>
              <w:spacing w:after="0"/>
            </w:pPr>
            <w:r>
              <w:rPr>
                <w:sz w:val="16"/>
              </w:rPr>
              <w:t>Describe methods used to assign animals or samples to groups.</w:t>
            </w:r>
          </w:p>
        </w:tc>
        <w:tc>
          <w:tcPr>
            <w:tcW w:w="1296" w:type="dxa"/>
          </w:tcPr>
          <w:p w14:paraId="64C717BC" w14:textId="77777777" w:rsidR="00C8340B" w:rsidRDefault="00000000">
            <w:pPr>
              <w:spacing w:after="0"/>
            </w:pPr>
            <w:r>
              <w:rPr>
                <w:sz w:val="16"/>
              </w:rPr>
              <w:t>Yes</w:t>
            </w:r>
          </w:p>
        </w:tc>
        <w:tc>
          <w:tcPr>
            <w:tcW w:w="7200" w:type="dxa"/>
          </w:tcPr>
          <w:p w14:paraId="44E683FA" w14:textId="77777777" w:rsidR="00C8340B" w:rsidRDefault="00000000">
            <w:pPr>
              <w:spacing w:after="0"/>
            </w:pPr>
            <w:r>
              <w:rPr>
                <w:sz w:val="16"/>
              </w:rPr>
              <w:t>Methods 2.1. Animals were randomly allocated into two experimental groups. For cell experiments, cells were assigned to treatment groups according to the experimental design.</w:t>
            </w:r>
          </w:p>
        </w:tc>
      </w:tr>
      <w:tr w:rsidR="00C8340B" w14:paraId="6F656660" w14:textId="77777777">
        <w:trPr>
          <w:jc w:val="center"/>
        </w:trPr>
        <w:tc>
          <w:tcPr>
            <w:tcW w:w="2232" w:type="dxa"/>
            <w:shd w:val="clear" w:color="auto" w:fill="EAF3E8"/>
          </w:tcPr>
          <w:p w14:paraId="7A70FF82" w14:textId="77777777" w:rsidR="00C8340B" w:rsidRDefault="00000000">
            <w:pPr>
              <w:spacing w:after="0"/>
            </w:pPr>
            <w:r>
              <w:rPr>
                <w:b/>
                <w:sz w:val="16"/>
              </w:rPr>
              <w:t>Essential 10</w:t>
            </w:r>
            <w:r>
              <w:rPr>
                <w:b/>
                <w:sz w:val="16"/>
              </w:rPr>
              <w:br/>
              <w:t>5. Blinding</w:t>
            </w:r>
          </w:p>
        </w:tc>
        <w:tc>
          <w:tcPr>
            <w:tcW w:w="4320" w:type="dxa"/>
          </w:tcPr>
          <w:p w14:paraId="5C072792" w14:textId="77777777" w:rsidR="00C8340B" w:rsidRDefault="00000000">
            <w:pPr>
              <w:spacing w:after="0"/>
            </w:pPr>
            <w:r>
              <w:rPr>
                <w:sz w:val="16"/>
              </w:rPr>
              <w:t>Describe who was aware of group allocation at each stage.</w:t>
            </w:r>
          </w:p>
        </w:tc>
        <w:tc>
          <w:tcPr>
            <w:tcW w:w="1296" w:type="dxa"/>
          </w:tcPr>
          <w:p w14:paraId="1985E3EF" w14:textId="77777777" w:rsidR="00C8340B" w:rsidRDefault="00000000">
            <w:pPr>
              <w:spacing w:after="0"/>
            </w:pPr>
            <w:r>
              <w:rPr>
                <w:sz w:val="16"/>
              </w:rPr>
              <w:t>Yes</w:t>
            </w:r>
          </w:p>
        </w:tc>
        <w:tc>
          <w:tcPr>
            <w:tcW w:w="7200" w:type="dxa"/>
          </w:tcPr>
          <w:p w14:paraId="4085FDC6" w14:textId="77777777" w:rsidR="00C8340B" w:rsidRDefault="00000000">
            <w:pPr>
              <w:spacing w:after="0"/>
            </w:pPr>
            <w:r>
              <w:rPr>
                <w:sz w:val="16"/>
              </w:rPr>
              <w:t>Methods 2.3. Animal samples were coded by a third party, and histological quantification was performed in a blinded manner using ImageJ. Beta-catenin nuclear localization was also quantified in a blinded manner.</w:t>
            </w:r>
          </w:p>
        </w:tc>
      </w:tr>
      <w:tr w:rsidR="00C8340B" w14:paraId="24634803" w14:textId="77777777">
        <w:trPr>
          <w:jc w:val="center"/>
        </w:trPr>
        <w:tc>
          <w:tcPr>
            <w:tcW w:w="2232" w:type="dxa"/>
            <w:shd w:val="clear" w:color="auto" w:fill="EAF3E8"/>
          </w:tcPr>
          <w:p w14:paraId="20155BBA" w14:textId="77777777" w:rsidR="00C8340B" w:rsidRDefault="00000000">
            <w:pPr>
              <w:spacing w:after="0"/>
            </w:pPr>
            <w:r>
              <w:rPr>
                <w:b/>
                <w:sz w:val="16"/>
              </w:rPr>
              <w:t>Essential 10</w:t>
            </w:r>
            <w:r>
              <w:rPr>
                <w:b/>
                <w:sz w:val="16"/>
              </w:rPr>
              <w:br/>
              <w:t>6. Outcome measures</w:t>
            </w:r>
          </w:p>
        </w:tc>
        <w:tc>
          <w:tcPr>
            <w:tcW w:w="4320" w:type="dxa"/>
          </w:tcPr>
          <w:p w14:paraId="6E6CA2F1" w14:textId="77777777" w:rsidR="00C8340B" w:rsidRDefault="00000000">
            <w:pPr>
              <w:spacing w:after="0"/>
            </w:pPr>
            <w:r>
              <w:rPr>
                <w:sz w:val="16"/>
              </w:rPr>
              <w:t>Define all measured outcomes.</w:t>
            </w:r>
          </w:p>
        </w:tc>
        <w:tc>
          <w:tcPr>
            <w:tcW w:w="1296" w:type="dxa"/>
          </w:tcPr>
          <w:p w14:paraId="58B3F67A" w14:textId="77777777" w:rsidR="00C8340B" w:rsidRDefault="00000000">
            <w:pPr>
              <w:spacing w:after="0"/>
            </w:pPr>
            <w:r>
              <w:rPr>
                <w:sz w:val="16"/>
              </w:rPr>
              <w:t>Yes</w:t>
            </w:r>
          </w:p>
        </w:tc>
        <w:tc>
          <w:tcPr>
            <w:tcW w:w="7200" w:type="dxa"/>
          </w:tcPr>
          <w:p w14:paraId="0B039B23" w14:textId="77777777" w:rsidR="00C8340B" w:rsidRDefault="00000000">
            <w:pPr>
              <w:spacing w:after="0"/>
            </w:pPr>
            <w:r>
              <w:rPr>
                <w:sz w:val="16"/>
              </w:rPr>
              <w:t>Abstract, Methods 2.3-2.10, Results 3.1-3.5. Main outcomes included antler mesenchymal cell proliferation (Ki67, CCK-8, EdU), RMC characterization, transcriptomic profiles, chondrogenic differentiation (Alcian blue, SOX9, COL2A1), and pathway-related protein/gene readouts.</w:t>
            </w:r>
          </w:p>
        </w:tc>
      </w:tr>
      <w:tr w:rsidR="00C8340B" w14:paraId="6DC9F3B9" w14:textId="77777777">
        <w:trPr>
          <w:jc w:val="center"/>
        </w:trPr>
        <w:tc>
          <w:tcPr>
            <w:tcW w:w="2232" w:type="dxa"/>
            <w:shd w:val="clear" w:color="auto" w:fill="EAF3E8"/>
          </w:tcPr>
          <w:p w14:paraId="0FCE5AB5" w14:textId="77777777" w:rsidR="00C8340B" w:rsidRDefault="00000000">
            <w:pPr>
              <w:spacing w:after="0"/>
            </w:pPr>
            <w:r>
              <w:rPr>
                <w:b/>
                <w:sz w:val="16"/>
              </w:rPr>
              <w:t>Essential 10</w:t>
            </w:r>
            <w:r>
              <w:rPr>
                <w:b/>
                <w:sz w:val="16"/>
              </w:rPr>
              <w:br/>
              <w:t>7. Statistical methods</w:t>
            </w:r>
          </w:p>
        </w:tc>
        <w:tc>
          <w:tcPr>
            <w:tcW w:w="4320" w:type="dxa"/>
          </w:tcPr>
          <w:p w14:paraId="7A7A8D65" w14:textId="77777777" w:rsidR="00C8340B" w:rsidRDefault="00000000">
            <w:pPr>
              <w:spacing w:after="0"/>
            </w:pPr>
            <w:r>
              <w:rPr>
                <w:sz w:val="16"/>
              </w:rPr>
              <w:t>Describe statistical methods, unit of analysis, assumptions, and software.</w:t>
            </w:r>
          </w:p>
        </w:tc>
        <w:tc>
          <w:tcPr>
            <w:tcW w:w="1296" w:type="dxa"/>
          </w:tcPr>
          <w:p w14:paraId="4A8F4C02" w14:textId="77777777" w:rsidR="00C8340B" w:rsidRDefault="00000000">
            <w:pPr>
              <w:spacing w:after="0"/>
            </w:pPr>
            <w:r>
              <w:rPr>
                <w:sz w:val="16"/>
              </w:rPr>
              <w:t>Yes</w:t>
            </w:r>
          </w:p>
        </w:tc>
        <w:tc>
          <w:tcPr>
            <w:tcW w:w="7200" w:type="dxa"/>
          </w:tcPr>
          <w:p w14:paraId="7663CD5A" w14:textId="77777777" w:rsidR="00C8340B" w:rsidRDefault="00000000">
            <w:pPr>
              <w:spacing w:after="0"/>
            </w:pPr>
            <w:r>
              <w:rPr>
                <w:sz w:val="16"/>
              </w:rPr>
              <w:t>Methods 2.10. Quantitative data are expressed as mean +/- SEM. One-way ANOVA with Tukey post hoc test was used for multiple comparisons; p &lt; 0.05 was considered significant. RNA-seq and KEGG enrichment methods are described in Methods 2.6.</w:t>
            </w:r>
          </w:p>
        </w:tc>
      </w:tr>
      <w:tr w:rsidR="00C8340B" w14:paraId="257C577B" w14:textId="77777777">
        <w:trPr>
          <w:jc w:val="center"/>
        </w:trPr>
        <w:tc>
          <w:tcPr>
            <w:tcW w:w="2232" w:type="dxa"/>
            <w:shd w:val="clear" w:color="auto" w:fill="EAF3E8"/>
          </w:tcPr>
          <w:p w14:paraId="7797EE20" w14:textId="77777777" w:rsidR="00C8340B" w:rsidRDefault="00000000">
            <w:pPr>
              <w:spacing w:after="0"/>
            </w:pPr>
            <w:r>
              <w:rPr>
                <w:b/>
                <w:sz w:val="16"/>
              </w:rPr>
              <w:t>Essential 10</w:t>
            </w:r>
            <w:r>
              <w:rPr>
                <w:b/>
                <w:sz w:val="16"/>
              </w:rPr>
              <w:br/>
              <w:t>8. Experimental animals</w:t>
            </w:r>
          </w:p>
        </w:tc>
        <w:tc>
          <w:tcPr>
            <w:tcW w:w="4320" w:type="dxa"/>
          </w:tcPr>
          <w:p w14:paraId="1A972D73" w14:textId="77777777" w:rsidR="00C8340B" w:rsidRDefault="00000000">
            <w:pPr>
              <w:spacing w:after="0"/>
            </w:pPr>
            <w:r>
              <w:rPr>
                <w:sz w:val="16"/>
              </w:rPr>
              <w:t>Provide species, strain/breed, sex, age/developmental stage, weight, and other relevant characteristics.</w:t>
            </w:r>
          </w:p>
        </w:tc>
        <w:tc>
          <w:tcPr>
            <w:tcW w:w="1296" w:type="dxa"/>
          </w:tcPr>
          <w:p w14:paraId="34B756F1" w14:textId="77777777" w:rsidR="00C8340B" w:rsidRDefault="00000000">
            <w:pPr>
              <w:spacing w:after="0"/>
            </w:pPr>
            <w:r>
              <w:rPr>
                <w:sz w:val="16"/>
              </w:rPr>
              <w:t>Yes</w:t>
            </w:r>
          </w:p>
        </w:tc>
        <w:tc>
          <w:tcPr>
            <w:tcW w:w="7200" w:type="dxa"/>
          </w:tcPr>
          <w:p w14:paraId="788F1DEF" w14:textId="77777777" w:rsidR="00C8340B" w:rsidRDefault="00000000">
            <w:pPr>
              <w:spacing w:after="0"/>
            </w:pPr>
            <w:r>
              <w:rPr>
                <w:sz w:val="16"/>
              </w:rPr>
              <w:t>Methods 2.1. Male sika deer (Cervus nippon), four years old, average body weight 108 +/- 4.5 kg, same antler casting date (approximately 15 May 2023).</w:t>
            </w:r>
          </w:p>
        </w:tc>
      </w:tr>
      <w:tr w:rsidR="00C8340B" w14:paraId="44666609" w14:textId="77777777">
        <w:trPr>
          <w:jc w:val="center"/>
        </w:trPr>
        <w:tc>
          <w:tcPr>
            <w:tcW w:w="2232" w:type="dxa"/>
            <w:shd w:val="clear" w:color="auto" w:fill="EAF3E8"/>
          </w:tcPr>
          <w:p w14:paraId="2E34D4B0" w14:textId="77777777" w:rsidR="00C8340B" w:rsidRDefault="00000000">
            <w:pPr>
              <w:spacing w:after="0"/>
            </w:pPr>
            <w:r>
              <w:rPr>
                <w:b/>
                <w:sz w:val="16"/>
              </w:rPr>
              <w:t>Essential 10</w:t>
            </w:r>
            <w:r>
              <w:rPr>
                <w:b/>
                <w:sz w:val="16"/>
              </w:rPr>
              <w:br/>
              <w:t>9. Experimental procedures</w:t>
            </w:r>
          </w:p>
        </w:tc>
        <w:tc>
          <w:tcPr>
            <w:tcW w:w="4320" w:type="dxa"/>
          </w:tcPr>
          <w:p w14:paraId="3BD036F5" w14:textId="77777777" w:rsidR="00C8340B" w:rsidRDefault="00000000">
            <w:pPr>
              <w:spacing w:after="0"/>
            </w:pPr>
            <w:r>
              <w:rPr>
                <w:sz w:val="16"/>
              </w:rPr>
              <w:t>Give details of procedures, including what, how, when, where, and why.</w:t>
            </w:r>
          </w:p>
        </w:tc>
        <w:tc>
          <w:tcPr>
            <w:tcW w:w="1296" w:type="dxa"/>
          </w:tcPr>
          <w:p w14:paraId="3DD938BC" w14:textId="77777777" w:rsidR="00C8340B" w:rsidRDefault="00000000">
            <w:pPr>
              <w:spacing w:after="0"/>
            </w:pPr>
            <w:r>
              <w:rPr>
                <w:sz w:val="16"/>
              </w:rPr>
              <w:t>Yes after revision</w:t>
            </w:r>
          </w:p>
        </w:tc>
        <w:tc>
          <w:tcPr>
            <w:tcW w:w="7200" w:type="dxa"/>
          </w:tcPr>
          <w:p w14:paraId="51625512" w14:textId="77777777" w:rsidR="00C8340B" w:rsidRDefault="00000000">
            <w:pPr>
              <w:spacing w:after="0"/>
            </w:pPr>
            <w:r>
              <w:rPr>
                <w:sz w:val="16"/>
              </w:rPr>
              <w:t>Methods 2.1-2.9. Revised Methods should add anesthesia/analgesia, tourniquet application, aseptic antler base preparation, sterile saw transection, hemostasis, topical antiseptic treatment, postoperative monitoring, and xylazine reversal with atipamezole, following the wording supplied in the revised paragraph.</w:t>
            </w:r>
          </w:p>
        </w:tc>
      </w:tr>
      <w:tr w:rsidR="00C8340B" w14:paraId="2A5096B8" w14:textId="77777777">
        <w:trPr>
          <w:jc w:val="center"/>
        </w:trPr>
        <w:tc>
          <w:tcPr>
            <w:tcW w:w="2232" w:type="dxa"/>
            <w:shd w:val="clear" w:color="auto" w:fill="EAF3E8"/>
          </w:tcPr>
          <w:p w14:paraId="27654096" w14:textId="77777777" w:rsidR="00C8340B" w:rsidRDefault="00000000">
            <w:pPr>
              <w:spacing w:after="0"/>
            </w:pPr>
            <w:r>
              <w:rPr>
                <w:b/>
                <w:sz w:val="16"/>
              </w:rPr>
              <w:t>Essential 10</w:t>
            </w:r>
            <w:r>
              <w:rPr>
                <w:b/>
                <w:sz w:val="16"/>
              </w:rPr>
              <w:br/>
              <w:t>10. Results</w:t>
            </w:r>
          </w:p>
        </w:tc>
        <w:tc>
          <w:tcPr>
            <w:tcW w:w="4320" w:type="dxa"/>
          </w:tcPr>
          <w:p w14:paraId="726B81BF" w14:textId="77777777" w:rsidR="00C8340B" w:rsidRDefault="00000000">
            <w:pPr>
              <w:spacing w:after="0"/>
            </w:pPr>
            <w:r>
              <w:rPr>
                <w:sz w:val="16"/>
              </w:rPr>
              <w:t>For each experiment, report summary/descriptive statistics and the number of independent replications.</w:t>
            </w:r>
          </w:p>
        </w:tc>
        <w:tc>
          <w:tcPr>
            <w:tcW w:w="1296" w:type="dxa"/>
          </w:tcPr>
          <w:p w14:paraId="215D72A0" w14:textId="77777777" w:rsidR="00C8340B" w:rsidRDefault="00000000">
            <w:pPr>
              <w:spacing w:after="0"/>
            </w:pPr>
            <w:r>
              <w:rPr>
                <w:sz w:val="16"/>
              </w:rPr>
              <w:t>Yes</w:t>
            </w:r>
          </w:p>
        </w:tc>
        <w:tc>
          <w:tcPr>
            <w:tcW w:w="7200" w:type="dxa"/>
          </w:tcPr>
          <w:p w14:paraId="19032FE1" w14:textId="77777777" w:rsidR="00C8340B" w:rsidRDefault="00000000">
            <w:pPr>
              <w:spacing w:after="0"/>
            </w:pPr>
            <w:r>
              <w:rPr>
                <w:sz w:val="16"/>
              </w:rPr>
              <w:t>Results 3.1-3.5 and Figures 1-5. Data are presented as mean +/- SEM with n values in figure legends. Statistical significance is indicated in figures and legends.</w:t>
            </w:r>
          </w:p>
        </w:tc>
      </w:tr>
      <w:tr w:rsidR="00C8340B" w14:paraId="6192A854" w14:textId="77777777">
        <w:trPr>
          <w:jc w:val="center"/>
        </w:trPr>
        <w:tc>
          <w:tcPr>
            <w:tcW w:w="2232" w:type="dxa"/>
            <w:shd w:val="clear" w:color="auto" w:fill="F3EADB"/>
          </w:tcPr>
          <w:p w14:paraId="70B2CB5C" w14:textId="77777777" w:rsidR="00C8340B" w:rsidRDefault="00000000">
            <w:pPr>
              <w:spacing w:after="0"/>
            </w:pPr>
            <w:r>
              <w:rPr>
                <w:b/>
                <w:sz w:val="16"/>
              </w:rPr>
              <w:t>Recommended Set</w:t>
            </w:r>
            <w:r>
              <w:rPr>
                <w:b/>
                <w:sz w:val="16"/>
              </w:rPr>
              <w:br/>
              <w:t>11. Abstract</w:t>
            </w:r>
          </w:p>
        </w:tc>
        <w:tc>
          <w:tcPr>
            <w:tcW w:w="4320" w:type="dxa"/>
          </w:tcPr>
          <w:p w14:paraId="1630834F" w14:textId="77777777" w:rsidR="00C8340B" w:rsidRDefault="00000000">
            <w:pPr>
              <w:spacing w:after="0"/>
            </w:pPr>
            <w:r>
              <w:rPr>
                <w:sz w:val="16"/>
              </w:rPr>
              <w:t>Provide accurate summary of objectives, species/sex, key methods, findings, and conclusions.</w:t>
            </w:r>
          </w:p>
        </w:tc>
        <w:tc>
          <w:tcPr>
            <w:tcW w:w="1296" w:type="dxa"/>
          </w:tcPr>
          <w:p w14:paraId="5E2A1CFA" w14:textId="77777777" w:rsidR="00C8340B" w:rsidRDefault="00000000">
            <w:pPr>
              <w:spacing w:after="0"/>
            </w:pPr>
            <w:r>
              <w:rPr>
                <w:sz w:val="16"/>
              </w:rPr>
              <w:t>Yes</w:t>
            </w:r>
          </w:p>
        </w:tc>
        <w:tc>
          <w:tcPr>
            <w:tcW w:w="7200" w:type="dxa"/>
          </w:tcPr>
          <w:p w14:paraId="10A69444" w14:textId="77777777" w:rsidR="00C8340B" w:rsidRDefault="00000000">
            <w:pPr>
              <w:spacing w:after="0"/>
            </w:pPr>
            <w:r>
              <w:rPr>
                <w:sz w:val="16"/>
              </w:rPr>
              <w:t>Abstract. It summarizes Arg treatment, RMC proliferation and chondrogenic differentiation, transcriptomic signatures, and Wnt/beta-catenin and mTOR signaling.</w:t>
            </w:r>
          </w:p>
        </w:tc>
      </w:tr>
      <w:tr w:rsidR="00C8340B" w14:paraId="73B9B524" w14:textId="77777777">
        <w:trPr>
          <w:jc w:val="center"/>
        </w:trPr>
        <w:tc>
          <w:tcPr>
            <w:tcW w:w="2232" w:type="dxa"/>
            <w:shd w:val="clear" w:color="auto" w:fill="F3EADB"/>
          </w:tcPr>
          <w:p w14:paraId="52507E20" w14:textId="77777777" w:rsidR="00C8340B" w:rsidRDefault="00000000">
            <w:pPr>
              <w:spacing w:after="0"/>
            </w:pPr>
            <w:r>
              <w:rPr>
                <w:b/>
                <w:sz w:val="16"/>
              </w:rPr>
              <w:t>Recommended Set</w:t>
            </w:r>
            <w:r>
              <w:rPr>
                <w:b/>
                <w:sz w:val="16"/>
              </w:rPr>
              <w:br/>
              <w:t>12. Background</w:t>
            </w:r>
          </w:p>
        </w:tc>
        <w:tc>
          <w:tcPr>
            <w:tcW w:w="4320" w:type="dxa"/>
          </w:tcPr>
          <w:p w14:paraId="750362C5" w14:textId="77777777" w:rsidR="00C8340B" w:rsidRDefault="00000000">
            <w:pPr>
              <w:spacing w:after="0"/>
            </w:pPr>
            <w:r>
              <w:rPr>
                <w:sz w:val="16"/>
              </w:rPr>
              <w:t>Include sufficient scientific background and rationale.</w:t>
            </w:r>
          </w:p>
        </w:tc>
        <w:tc>
          <w:tcPr>
            <w:tcW w:w="1296" w:type="dxa"/>
          </w:tcPr>
          <w:p w14:paraId="1DF114E8" w14:textId="77777777" w:rsidR="00C8340B" w:rsidRDefault="00000000">
            <w:pPr>
              <w:spacing w:after="0"/>
            </w:pPr>
            <w:r>
              <w:rPr>
                <w:sz w:val="16"/>
              </w:rPr>
              <w:t>Yes</w:t>
            </w:r>
          </w:p>
        </w:tc>
        <w:tc>
          <w:tcPr>
            <w:tcW w:w="7200" w:type="dxa"/>
          </w:tcPr>
          <w:p w14:paraId="44BBCD24" w14:textId="77777777" w:rsidR="00C8340B" w:rsidRDefault="00000000">
            <w:pPr>
              <w:spacing w:after="0"/>
            </w:pPr>
            <w:r>
              <w:rPr>
                <w:sz w:val="16"/>
              </w:rPr>
              <w:t>Introduction. Background covers antler regeneration, RMC function, chondrogenesis, ECM/adhesion signaling, mTOR/Wnt pathways, and biological rationale for Arg supplementation.</w:t>
            </w:r>
          </w:p>
        </w:tc>
      </w:tr>
      <w:tr w:rsidR="00C8340B" w14:paraId="1C9A723B" w14:textId="77777777">
        <w:trPr>
          <w:jc w:val="center"/>
        </w:trPr>
        <w:tc>
          <w:tcPr>
            <w:tcW w:w="2232" w:type="dxa"/>
            <w:shd w:val="clear" w:color="auto" w:fill="F3EADB"/>
          </w:tcPr>
          <w:p w14:paraId="366728D4" w14:textId="77777777" w:rsidR="00C8340B" w:rsidRDefault="00000000">
            <w:pPr>
              <w:spacing w:after="0"/>
            </w:pPr>
            <w:r>
              <w:rPr>
                <w:b/>
                <w:sz w:val="16"/>
              </w:rPr>
              <w:t>Recommended Set</w:t>
            </w:r>
            <w:r>
              <w:rPr>
                <w:b/>
                <w:sz w:val="16"/>
              </w:rPr>
              <w:br/>
              <w:t>13. Objectives</w:t>
            </w:r>
          </w:p>
        </w:tc>
        <w:tc>
          <w:tcPr>
            <w:tcW w:w="4320" w:type="dxa"/>
          </w:tcPr>
          <w:p w14:paraId="2E962582" w14:textId="77777777" w:rsidR="00C8340B" w:rsidRDefault="00000000">
            <w:pPr>
              <w:spacing w:after="0"/>
            </w:pPr>
            <w:r>
              <w:rPr>
                <w:sz w:val="16"/>
              </w:rPr>
              <w:t>Clearly describe research questions and hypotheses.</w:t>
            </w:r>
          </w:p>
        </w:tc>
        <w:tc>
          <w:tcPr>
            <w:tcW w:w="1296" w:type="dxa"/>
          </w:tcPr>
          <w:p w14:paraId="5129B38F" w14:textId="77777777" w:rsidR="00C8340B" w:rsidRDefault="00000000">
            <w:pPr>
              <w:spacing w:after="0"/>
            </w:pPr>
            <w:r>
              <w:rPr>
                <w:sz w:val="16"/>
              </w:rPr>
              <w:t>Yes</w:t>
            </w:r>
          </w:p>
        </w:tc>
        <w:tc>
          <w:tcPr>
            <w:tcW w:w="7200" w:type="dxa"/>
          </w:tcPr>
          <w:p w14:paraId="47DA4BCA" w14:textId="77777777" w:rsidR="00C8340B" w:rsidRDefault="00000000">
            <w:pPr>
              <w:spacing w:after="0"/>
            </w:pPr>
            <w:r>
              <w:rPr>
                <w:sz w:val="16"/>
              </w:rPr>
              <w:t>End of Introduction. Objectives were to determine whether Arg promotes RMC proliferation, reshapes transcriptomes, enhances chondrogenic differentiation, and is associated with pathway-related signaling changes.</w:t>
            </w:r>
          </w:p>
        </w:tc>
      </w:tr>
      <w:tr w:rsidR="00C8340B" w14:paraId="3BDCD3CB" w14:textId="77777777">
        <w:trPr>
          <w:jc w:val="center"/>
        </w:trPr>
        <w:tc>
          <w:tcPr>
            <w:tcW w:w="2232" w:type="dxa"/>
            <w:shd w:val="clear" w:color="auto" w:fill="F3EADB"/>
          </w:tcPr>
          <w:p w14:paraId="6C1CFFD9" w14:textId="77777777" w:rsidR="00C8340B" w:rsidRDefault="00000000">
            <w:pPr>
              <w:spacing w:after="0"/>
            </w:pPr>
            <w:r>
              <w:rPr>
                <w:b/>
                <w:sz w:val="16"/>
              </w:rPr>
              <w:t>Recommended Set</w:t>
            </w:r>
            <w:r>
              <w:rPr>
                <w:b/>
                <w:sz w:val="16"/>
              </w:rPr>
              <w:br/>
              <w:t>14. Ethical statement</w:t>
            </w:r>
          </w:p>
        </w:tc>
        <w:tc>
          <w:tcPr>
            <w:tcW w:w="4320" w:type="dxa"/>
          </w:tcPr>
          <w:p w14:paraId="2F900D70" w14:textId="77777777" w:rsidR="00C8340B" w:rsidRDefault="00000000">
            <w:pPr>
              <w:spacing w:after="0"/>
            </w:pPr>
            <w:r>
              <w:rPr>
                <w:sz w:val="16"/>
              </w:rPr>
              <w:t>Name ethical review body, approval number, and relevant guidelines.</w:t>
            </w:r>
          </w:p>
        </w:tc>
        <w:tc>
          <w:tcPr>
            <w:tcW w:w="1296" w:type="dxa"/>
          </w:tcPr>
          <w:p w14:paraId="446040DA" w14:textId="7E1E5464" w:rsidR="00C8340B" w:rsidRDefault="00000000">
            <w:pPr>
              <w:spacing w:after="0"/>
            </w:pPr>
            <w:r>
              <w:rPr>
                <w:sz w:val="16"/>
              </w:rPr>
              <w:t>Yes</w:t>
            </w:r>
          </w:p>
        </w:tc>
        <w:tc>
          <w:tcPr>
            <w:tcW w:w="7200" w:type="dxa"/>
          </w:tcPr>
          <w:p w14:paraId="3BA4C9C1" w14:textId="6C98743D" w:rsidR="00C8340B" w:rsidRDefault="00000000">
            <w:pPr>
              <w:spacing w:after="0"/>
            </w:pPr>
            <w:r>
              <w:rPr>
                <w:sz w:val="16"/>
              </w:rPr>
              <w:t xml:space="preserve">Methods 2.1 and Ethics Approval. Approved by the Animal Ethics Committee of Jilin Agricultural University (Approval ID: 20220614005). </w:t>
            </w:r>
          </w:p>
        </w:tc>
      </w:tr>
      <w:tr w:rsidR="00C8340B" w14:paraId="32C9DFDB" w14:textId="77777777">
        <w:trPr>
          <w:jc w:val="center"/>
        </w:trPr>
        <w:tc>
          <w:tcPr>
            <w:tcW w:w="2232" w:type="dxa"/>
            <w:shd w:val="clear" w:color="auto" w:fill="F3EADB"/>
          </w:tcPr>
          <w:p w14:paraId="21B5F50E" w14:textId="77777777" w:rsidR="00C8340B" w:rsidRDefault="00000000">
            <w:pPr>
              <w:spacing w:after="0"/>
            </w:pPr>
            <w:r>
              <w:rPr>
                <w:b/>
                <w:sz w:val="16"/>
              </w:rPr>
              <w:lastRenderedPageBreak/>
              <w:t>Recommended Set</w:t>
            </w:r>
            <w:r>
              <w:rPr>
                <w:b/>
                <w:sz w:val="16"/>
              </w:rPr>
              <w:br/>
              <w:t>15. Housing and husbandry</w:t>
            </w:r>
          </w:p>
        </w:tc>
        <w:tc>
          <w:tcPr>
            <w:tcW w:w="4320" w:type="dxa"/>
          </w:tcPr>
          <w:p w14:paraId="5C86D98C" w14:textId="77777777" w:rsidR="00C8340B" w:rsidRDefault="00000000">
            <w:pPr>
              <w:spacing w:after="0"/>
            </w:pPr>
            <w:r>
              <w:rPr>
                <w:sz w:val="16"/>
              </w:rPr>
              <w:t>Provide housing, husbandry, enrichment, diet, and water details.</w:t>
            </w:r>
          </w:p>
        </w:tc>
        <w:tc>
          <w:tcPr>
            <w:tcW w:w="1296" w:type="dxa"/>
          </w:tcPr>
          <w:p w14:paraId="3C54CA4B" w14:textId="2FB0485D" w:rsidR="00C8340B" w:rsidRDefault="00000000">
            <w:pPr>
              <w:spacing w:after="0"/>
            </w:pPr>
            <w:r>
              <w:rPr>
                <w:sz w:val="16"/>
              </w:rPr>
              <w:t>Yes</w:t>
            </w:r>
          </w:p>
        </w:tc>
        <w:tc>
          <w:tcPr>
            <w:tcW w:w="7200" w:type="dxa"/>
          </w:tcPr>
          <w:p w14:paraId="1BE17172" w14:textId="77777777" w:rsidR="00C8340B" w:rsidRDefault="00000000">
            <w:pPr>
              <w:spacing w:after="0"/>
            </w:pPr>
            <w:r>
              <w:rPr>
                <w:sz w:val="16"/>
              </w:rPr>
              <w:t xml:space="preserve">Methods 2.1. Deer </w:t>
            </w:r>
            <w:proofErr w:type="gramStart"/>
            <w:r>
              <w:rPr>
                <w:sz w:val="16"/>
              </w:rPr>
              <w:t>were</w:t>
            </w:r>
            <w:proofErr w:type="gramEnd"/>
            <w:r>
              <w:rPr>
                <w:sz w:val="16"/>
              </w:rPr>
              <w:t xml:space="preserve"> housed individually, fed twice daily at 07:00 and 16:00, and had free access to clean water. Diet composition is provided in Supplementary Table 1. If journal space permits, add pen size and enrichment details if identical to the VA protocol.</w:t>
            </w:r>
          </w:p>
        </w:tc>
      </w:tr>
      <w:tr w:rsidR="00C8340B" w14:paraId="7D632BA3" w14:textId="77777777">
        <w:trPr>
          <w:jc w:val="center"/>
        </w:trPr>
        <w:tc>
          <w:tcPr>
            <w:tcW w:w="2232" w:type="dxa"/>
            <w:shd w:val="clear" w:color="auto" w:fill="F3EADB"/>
          </w:tcPr>
          <w:p w14:paraId="059DAC4E" w14:textId="77777777" w:rsidR="00C8340B" w:rsidRDefault="00000000">
            <w:pPr>
              <w:spacing w:after="0"/>
            </w:pPr>
            <w:r>
              <w:rPr>
                <w:b/>
                <w:sz w:val="16"/>
              </w:rPr>
              <w:t>Recommended Set</w:t>
            </w:r>
            <w:r>
              <w:rPr>
                <w:b/>
                <w:sz w:val="16"/>
              </w:rPr>
              <w:br/>
              <w:t>16. Animal care and monitoring</w:t>
            </w:r>
          </w:p>
        </w:tc>
        <w:tc>
          <w:tcPr>
            <w:tcW w:w="4320" w:type="dxa"/>
          </w:tcPr>
          <w:p w14:paraId="0CE7D45A" w14:textId="77777777" w:rsidR="00C8340B" w:rsidRDefault="00000000">
            <w:pPr>
              <w:spacing w:after="0"/>
            </w:pPr>
            <w:r>
              <w:rPr>
                <w:sz w:val="16"/>
              </w:rPr>
              <w:t>Describe welfare monitoring, adverse events, humane endpoints, and euthanasia.</w:t>
            </w:r>
          </w:p>
        </w:tc>
        <w:tc>
          <w:tcPr>
            <w:tcW w:w="1296" w:type="dxa"/>
          </w:tcPr>
          <w:p w14:paraId="34CA3406" w14:textId="77777777" w:rsidR="00C8340B" w:rsidRDefault="00000000">
            <w:pPr>
              <w:spacing w:after="0"/>
            </w:pPr>
            <w:r>
              <w:rPr>
                <w:sz w:val="16"/>
              </w:rPr>
              <w:t>Yes after revision</w:t>
            </w:r>
          </w:p>
        </w:tc>
        <w:tc>
          <w:tcPr>
            <w:tcW w:w="7200" w:type="dxa"/>
          </w:tcPr>
          <w:p w14:paraId="4C3A8DEA" w14:textId="77777777" w:rsidR="00C8340B" w:rsidRDefault="00000000">
            <w:pPr>
              <w:spacing w:after="0"/>
            </w:pPr>
            <w:r>
              <w:rPr>
                <w:sz w:val="16"/>
              </w:rPr>
              <w:t>Add revised Methods paragraph. Daily monitoring should include appetite/feed intake, demeanor, locomotion, wound condition, bleeding, infection, and pain-related behavior. Predefined humane endpoints include severe body-weight loss (&gt;15-20%), marked reduction of food intake for 24-48 h, inability to stand or move, persistent bleeding, severe wound infection, dehydration, or unrelieved pain/distress. State that no animals reached endpoints, no severe adverse events occurred, and no animals were euthanized.</w:t>
            </w:r>
          </w:p>
        </w:tc>
      </w:tr>
      <w:tr w:rsidR="00C8340B" w14:paraId="27194F94" w14:textId="77777777">
        <w:trPr>
          <w:jc w:val="center"/>
        </w:trPr>
        <w:tc>
          <w:tcPr>
            <w:tcW w:w="2232" w:type="dxa"/>
            <w:shd w:val="clear" w:color="auto" w:fill="F3EADB"/>
          </w:tcPr>
          <w:p w14:paraId="608E000D" w14:textId="77777777" w:rsidR="00C8340B" w:rsidRDefault="00000000">
            <w:pPr>
              <w:spacing w:after="0"/>
            </w:pPr>
            <w:r>
              <w:rPr>
                <w:b/>
                <w:sz w:val="16"/>
              </w:rPr>
              <w:t>Recommended Set</w:t>
            </w:r>
            <w:r>
              <w:rPr>
                <w:b/>
                <w:sz w:val="16"/>
              </w:rPr>
              <w:br/>
              <w:t>17. Interpretation/scientific implications</w:t>
            </w:r>
          </w:p>
        </w:tc>
        <w:tc>
          <w:tcPr>
            <w:tcW w:w="4320" w:type="dxa"/>
          </w:tcPr>
          <w:p w14:paraId="42A4EC08" w14:textId="77777777" w:rsidR="00C8340B" w:rsidRDefault="00000000">
            <w:pPr>
              <w:spacing w:after="0"/>
            </w:pPr>
            <w:r>
              <w:rPr>
                <w:sz w:val="16"/>
              </w:rPr>
              <w:t>Interpret results considering objectives, theory, and limitations.</w:t>
            </w:r>
          </w:p>
        </w:tc>
        <w:tc>
          <w:tcPr>
            <w:tcW w:w="1296" w:type="dxa"/>
          </w:tcPr>
          <w:p w14:paraId="4BFFCBAB" w14:textId="77777777" w:rsidR="00C8340B" w:rsidRDefault="00000000">
            <w:pPr>
              <w:spacing w:after="0"/>
            </w:pPr>
            <w:r>
              <w:rPr>
                <w:sz w:val="16"/>
              </w:rPr>
              <w:t>Yes</w:t>
            </w:r>
          </w:p>
        </w:tc>
        <w:tc>
          <w:tcPr>
            <w:tcW w:w="7200" w:type="dxa"/>
          </w:tcPr>
          <w:p w14:paraId="2F353404" w14:textId="77777777" w:rsidR="00C8340B" w:rsidRDefault="00000000">
            <w:pPr>
              <w:spacing w:after="0"/>
            </w:pPr>
            <w:r>
              <w:rPr>
                <w:sz w:val="16"/>
              </w:rPr>
              <w:t>Discussion and Conclusions. Results are interpreted in relation to Arg-mediated RMC proliferation, ECM/adhesion programs, mTOR activation, and Wnt/beta-catenin signaling; limitations of pharmacological perturbation and in vitro modeling are discussed.</w:t>
            </w:r>
          </w:p>
        </w:tc>
      </w:tr>
      <w:tr w:rsidR="00C8340B" w14:paraId="6AC4CDF1" w14:textId="77777777">
        <w:trPr>
          <w:jc w:val="center"/>
        </w:trPr>
        <w:tc>
          <w:tcPr>
            <w:tcW w:w="2232" w:type="dxa"/>
            <w:shd w:val="clear" w:color="auto" w:fill="F3EADB"/>
          </w:tcPr>
          <w:p w14:paraId="110E973E" w14:textId="77777777" w:rsidR="00C8340B" w:rsidRDefault="00000000">
            <w:pPr>
              <w:spacing w:after="0"/>
            </w:pPr>
            <w:r>
              <w:rPr>
                <w:b/>
                <w:sz w:val="16"/>
              </w:rPr>
              <w:t>Recommended Set</w:t>
            </w:r>
            <w:r>
              <w:rPr>
                <w:b/>
                <w:sz w:val="16"/>
              </w:rPr>
              <w:br/>
              <w:t>18. Generalisability/translation</w:t>
            </w:r>
          </w:p>
        </w:tc>
        <w:tc>
          <w:tcPr>
            <w:tcW w:w="4320" w:type="dxa"/>
          </w:tcPr>
          <w:p w14:paraId="77CCDB05" w14:textId="77777777" w:rsidR="00C8340B" w:rsidRDefault="00000000">
            <w:pPr>
              <w:spacing w:after="0"/>
            </w:pPr>
            <w:r>
              <w:rPr>
                <w:sz w:val="16"/>
              </w:rPr>
              <w:t>Discuss whether and how findings may translate to other contexts.</w:t>
            </w:r>
          </w:p>
        </w:tc>
        <w:tc>
          <w:tcPr>
            <w:tcW w:w="1296" w:type="dxa"/>
          </w:tcPr>
          <w:p w14:paraId="08FB432F" w14:textId="77777777" w:rsidR="00C8340B" w:rsidRDefault="00000000">
            <w:pPr>
              <w:spacing w:after="0"/>
            </w:pPr>
            <w:r>
              <w:rPr>
                <w:sz w:val="16"/>
              </w:rPr>
              <w:t>Yes</w:t>
            </w:r>
          </w:p>
        </w:tc>
        <w:tc>
          <w:tcPr>
            <w:tcW w:w="7200" w:type="dxa"/>
          </w:tcPr>
          <w:p w14:paraId="2A4D1900" w14:textId="77777777" w:rsidR="00C8340B" w:rsidRDefault="00000000">
            <w:pPr>
              <w:spacing w:after="0"/>
            </w:pPr>
            <w:r>
              <w:rPr>
                <w:sz w:val="16"/>
              </w:rPr>
              <w:t>Discussion and Conclusions. The manuscript discusses relevance to antler regeneration and potential application of Arg supplementation in deer production, while noting that further physiologically relevant validation is needed.</w:t>
            </w:r>
          </w:p>
        </w:tc>
      </w:tr>
      <w:tr w:rsidR="00C8340B" w14:paraId="1E248A53" w14:textId="77777777">
        <w:trPr>
          <w:jc w:val="center"/>
        </w:trPr>
        <w:tc>
          <w:tcPr>
            <w:tcW w:w="2232" w:type="dxa"/>
            <w:shd w:val="clear" w:color="auto" w:fill="F3EADB"/>
          </w:tcPr>
          <w:p w14:paraId="1B1D988E" w14:textId="77777777" w:rsidR="00C8340B" w:rsidRDefault="00000000">
            <w:pPr>
              <w:spacing w:after="0"/>
            </w:pPr>
            <w:r>
              <w:rPr>
                <w:b/>
                <w:sz w:val="16"/>
              </w:rPr>
              <w:t>Recommended Set</w:t>
            </w:r>
            <w:r>
              <w:rPr>
                <w:b/>
                <w:sz w:val="16"/>
              </w:rPr>
              <w:br/>
              <w:t>19. Protocol registration</w:t>
            </w:r>
          </w:p>
        </w:tc>
        <w:tc>
          <w:tcPr>
            <w:tcW w:w="4320" w:type="dxa"/>
          </w:tcPr>
          <w:p w14:paraId="597238C1" w14:textId="77777777" w:rsidR="00C8340B" w:rsidRDefault="00000000">
            <w:pPr>
              <w:spacing w:after="0"/>
            </w:pPr>
            <w:r>
              <w:rPr>
                <w:sz w:val="16"/>
              </w:rPr>
              <w:t>State whether a study protocol was registered.</w:t>
            </w:r>
          </w:p>
        </w:tc>
        <w:tc>
          <w:tcPr>
            <w:tcW w:w="1296" w:type="dxa"/>
          </w:tcPr>
          <w:p w14:paraId="0DF834A9" w14:textId="77777777" w:rsidR="00C8340B" w:rsidRDefault="00000000">
            <w:pPr>
              <w:spacing w:after="0"/>
            </w:pPr>
            <w:r>
              <w:rPr>
                <w:sz w:val="16"/>
              </w:rPr>
              <w:t>Not reported/Not applicable</w:t>
            </w:r>
          </w:p>
        </w:tc>
        <w:tc>
          <w:tcPr>
            <w:tcW w:w="7200" w:type="dxa"/>
          </w:tcPr>
          <w:p w14:paraId="0608E421" w14:textId="77777777" w:rsidR="00C8340B" w:rsidRDefault="00000000">
            <w:pPr>
              <w:spacing w:after="0"/>
            </w:pPr>
            <w:r>
              <w:rPr>
                <w:sz w:val="16"/>
              </w:rPr>
              <w:t>Animal feeding and cell experiments were not prospectively registered. If required by the journal, add: "The study protocol was not preregistered."</w:t>
            </w:r>
          </w:p>
        </w:tc>
      </w:tr>
      <w:tr w:rsidR="00C8340B" w14:paraId="52A36DE8" w14:textId="77777777">
        <w:trPr>
          <w:jc w:val="center"/>
        </w:trPr>
        <w:tc>
          <w:tcPr>
            <w:tcW w:w="2232" w:type="dxa"/>
            <w:shd w:val="clear" w:color="auto" w:fill="F3EADB"/>
          </w:tcPr>
          <w:p w14:paraId="7ADB5ECD" w14:textId="77777777" w:rsidR="00C8340B" w:rsidRDefault="00000000">
            <w:pPr>
              <w:spacing w:after="0"/>
            </w:pPr>
            <w:r>
              <w:rPr>
                <w:b/>
                <w:sz w:val="16"/>
              </w:rPr>
              <w:t>Recommended Set</w:t>
            </w:r>
            <w:r>
              <w:rPr>
                <w:b/>
                <w:sz w:val="16"/>
              </w:rPr>
              <w:br/>
              <w:t>20. Data access</w:t>
            </w:r>
          </w:p>
        </w:tc>
        <w:tc>
          <w:tcPr>
            <w:tcW w:w="4320" w:type="dxa"/>
          </w:tcPr>
          <w:p w14:paraId="4CD0D7B5" w14:textId="77777777" w:rsidR="00C8340B" w:rsidRDefault="00000000">
            <w:pPr>
              <w:spacing w:after="0"/>
            </w:pPr>
            <w:r>
              <w:rPr>
                <w:sz w:val="16"/>
              </w:rPr>
              <w:t>State where data and materials are available.</w:t>
            </w:r>
          </w:p>
        </w:tc>
        <w:tc>
          <w:tcPr>
            <w:tcW w:w="1296" w:type="dxa"/>
          </w:tcPr>
          <w:p w14:paraId="02F010B3" w14:textId="77777777" w:rsidR="00C8340B" w:rsidRDefault="00000000">
            <w:pPr>
              <w:spacing w:after="0"/>
            </w:pPr>
            <w:r>
              <w:rPr>
                <w:sz w:val="16"/>
              </w:rPr>
              <w:t>Yes</w:t>
            </w:r>
          </w:p>
        </w:tc>
        <w:tc>
          <w:tcPr>
            <w:tcW w:w="7200" w:type="dxa"/>
          </w:tcPr>
          <w:p w14:paraId="4EBD639D" w14:textId="77777777" w:rsidR="00C8340B" w:rsidRDefault="00000000">
            <w:pPr>
              <w:spacing w:after="0"/>
            </w:pPr>
            <w:r>
              <w:rPr>
                <w:sz w:val="16"/>
              </w:rPr>
              <w:t>Availability of Data and Materials. RNA-seq datasets are publicly available in NCBI under accession PRJNA1400122.</w:t>
            </w:r>
          </w:p>
        </w:tc>
      </w:tr>
      <w:tr w:rsidR="00C8340B" w14:paraId="05AFEC29" w14:textId="77777777">
        <w:trPr>
          <w:jc w:val="center"/>
        </w:trPr>
        <w:tc>
          <w:tcPr>
            <w:tcW w:w="2232" w:type="dxa"/>
            <w:shd w:val="clear" w:color="auto" w:fill="F3EADB"/>
          </w:tcPr>
          <w:p w14:paraId="62BC2F07" w14:textId="77777777" w:rsidR="00C8340B" w:rsidRDefault="00000000">
            <w:pPr>
              <w:spacing w:after="0"/>
            </w:pPr>
            <w:r>
              <w:rPr>
                <w:b/>
                <w:sz w:val="16"/>
              </w:rPr>
              <w:t>Recommended Set</w:t>
            </w:r>
            <w:r>
              <w:rPr>
                <w:b/>
                <w:sz w:val="16"/>
              </w:rPr>
              <w:br/>
              <w:t>21. Declaration of interests</w:t>
            </w:r>
          </w:p>
        </w:tc>
        <w:tc>
          <w:tcPr>
            <w:tcW w:w="4320" w:type="dxa"/>
          </w:tcPr>
          <w:p w14:paraId="6864FFE6" w14:textId="77777777" w:rsidR="00C8340B" w:rsidRDefault="00000000">
            <w:pPr>
              <w:spacing w:after="0"/>
            </w:pPr>
            <w:r>
              <w:rPr>
                <w:sz w:val="16"/>
              </w:rPr>
              <w:t>Declare conflicts of interest and funding.</w:t>
            </w:r>
          </w:p>
        </w:tc>
        <w:tc>
          <w:tcPr>
            <w:tcW w:w="1296" w:type="dxa"/>
          </w:tcPr>
          <w:p w14:paraId="05BA0B07" w14:textId="77777777" w:rsidR="00C8340B" w:rsidRDefault="00000000">
            <w:pPr>
              <w:spacing w:after="0"/>
            </w:pPr>
            <w:r>
              <w:rPr>
                <w:sz w:val="16"/>
              </w:rPr>
              <w:t>Yes</w:t>
            </w:r>
          </w:p>
        </w:tc>
        <w:tc>
          <w:tcPr>
            <w:tcW w:w="7200" w:type="dxa"/>
          </w:tcPr>
          <w:p w14:paraId="4D45B14E" w14:textId="77777777" w:rsidR="00C8340B" w:rsidRDefault="00000000">
            <w:pPr>
              <w:spacing w:after="0"/>
            </w:pPr>
            <w:r>
              <w:rPr>
                <w:sz w:val="16"/>
              </w:rPr>
              <w:t>Funding and Conflicts of Interest. Funding sources are listed. The authors declare no conflicts of interest.</w:t>
            </w:r>
          </w:p>
        </w:tc>
      </w:tr>
    </w:tbl>
    <w:p w14:paraId="490386CF" w14:textId="59D2B725" w:rsidR="00C8340B" w:rsidRDefault="00C8340B"/>
    <w:sectPr w:rsidR="00C8340B" w:rsidSect="00034616">
      <w:pgSz w:w="16834" w:h="11909" w:orient="landscape"/>
      <w:pgMar w:top="648" w:right="648" w:bottom="648" w:left="64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251740753">
    <w:abstractNumId w:val="8"/>
  </w:num>
  <w:num w:numId="2" w16cid:durableId="260577251">
    <w:abstractNumId w:val="6"/>
  </w:num>
  <w:num w:numId="3" w16cid:durableId="2051109603">
    <w:abstractNumId w:val="5"/>
  </w:num>
  <w:num w:numId="4" w16cid:durableId="541017060">
    <w:abstractNumId w:val="4"/>
  </w:num>
  <w:num w:numId="5" w16cid:durableId="1483503423">
    <w:abstractNumId w:val="7"/>
  </w:num>
  <w:num w:numId="6" w16cid:durableId="172425525">
    <w:abstractNumId w:val="3"/>
  </w:num>
  <w:num w:numId="7" w16cid:durableId="2065522784">
    <w:abstractNumId w:val="2"/>
  </w:num>
  <w:num w:numId="8" w16cid:durableId="738290143">
    <w:abstractNumId w:val="1"/>
  </w:num>
  <w:num w:numId="9" w16cid:durableId="1503471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AA1D8D"/>
    <w:rsid w:val="00AB06E9"/>
    <w:rsid w:val="00B47730"/>
    <w:rsid w:val="00C8340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3AE7"/>
  <w14:defaultImageDpi w14:val="300"/>
  <w15:docId w15:val="{D613AE3F-9547-440A-845F-A14B26DAD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Arial" w:eastAsia="Arial" w:hAnsi="Arial"/>
      <w:sz w:val="18"/>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CEEACA"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CEEACA"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CEEACA"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CEEACA"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EEACA"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EEACA"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CEEACA"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CEEACA"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CEEACA"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EEACA"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CEEACA"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EEACA"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EEACA"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CEEACA"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CEEACA"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CEEACA"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EEACA"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CEEACA"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EEACA" w:themeFill="background1"/>
      </w:tcPr>
    </w:tblStylePr>
    <w:tblStylePr w:type="lastRow">
      <w:tblPr/>
      <w:tcPr>
        <w:tcBorders>
          <w:top w:val="single" w:sz="8" w:space="0" w:color="000000" w:themeColor="tex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000000" w:themeColor="text1"/>
          <w:insideH w:val="nil"/>
          <w:insideV w:val="nil"/>
        </w:tcBorders>
        <w:shd w:val="clear" w:color="auto" w:fill="CEEACA" w:themeFill="background1"/>
      </w:tcPr>
    </w:tblStylePr>
    <w:tblStylePr w:type="lastCol">
      <w:tblPr/>
      <w:tcPr>
        <w:tcBorders>
          <w:top w:val="nil"/>
          <w:left w:val="single" w:sz="8" w:space="0" w:color="000000" w:themeColor="tex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EEACA"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CEEACA" w:themeFill="background1"/>
      </w:tcPr>
    </w:tblStylePr>
    <w:tblStylePr w:type="lastRow">
      <w:tblPr/>
      <w:tcPr>
        <w:tcBorders>
          <w:top w:val="single" w:sz="8" w:space="0" w:color="4F81BD" w:themeColor="accen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F81BD" w:themeColor="accent1"/>
          <w:insideH w:val="nil"/>
          <w:insideV w:val="nil"/>
        </w:tcBorders>
        <w:shd w:val="clear" w:color="auto" w:fill="CEEACA" w:themeFill="background1"/>
      </w:tcPr>
    </w:tblStylePr>
    <w:tblStylePr w:type="lastCol">
      <w:tblPr/>
      <w:tcPr>
        <w:tcBorders>
          <w:top w:val="nil"/>
          <w:left w:val="single" w:sz="8" w:space="0" w:color="4F81BD" w:themeColor="accen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CEEACA"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CEEACA" w:themeFill="background1"/>
      </w:tcPr>
    </w:tblStylePr>
    <w:tblStylePr w:type="lastRow">
      <w:tblPr/>
      <w:tcPr>
        <w:tcBorders>
          <w:top w:val="single" w:sz="8" w:space="0" w:color="C0504D" w:themeColor="accent2"/>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C0504D" w:themeColor="accent2"/>
          <w:insideH w:val="nil"/>
          <w:insideV w:val="nil"/>
        </w:tcBorders>
        <w:shd w:val="clear" w:color="auto" w:fill="CEEACA" w:themeFill="background1"/>
      </w:tcPr>
    </w:tblStylePr>
    <w:tblStylePr w:type="lastCol">
      <w:tblPr/>
      <w:tcPr>
        <w:tcBorders>
          <w:top w:val="nil"/>
          <w:left w:val="single" w:sz="8" w:space="0" w:color="C0504D" w:themeColor="accent2"/>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CEEACA"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CEEACA" w:themeFill="background1"/>
      </w:tcPr>
    </w:tblStylePr>
    <w:tblStylePr w:type="lastRow">
      <w:tblPr/>
      <w:tcPr>
        <w:tcBorders>
          <w:top w:val="single" w:sz="8" w:space="0" w:color="9BBB59" w:themeColor="accent3"/>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9BBB59" w:themeColor="accent3"/>
          <w:insideH w:val="nil"/>
          <w:insideV w:val="nil"/>
        </w:tcBorders>
        <w:shd w:val="clear" w:color="auto" w:fill="CEEACA" w:themeFill="background1"/>
      </w:tcPr>
    </w:tblStylePr>
    <w:tblStylePr w:type="lastCol">
      <w:tblPr/>
      <w:tcPr>
        <w:tcBorders>
          <w:top w:val="nil"/>
          <w:left w:val="single" w:sz="8" w:space="0" w:color="9BBB59" w:themeColor="accent3"/>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CEEACA"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CEEACA" w:themeFill="background1"/>
      </w:tcPr>
    </w:tblStylePr>
    <w:tblStylePr w:type="lastRow">
      <w:tblPr/>
      <w:tcPr>
        <w:tcBorders>
          <w:top w:val="single" w:sz="8" w:space="0" w:color="8064A2" w:themeColor="accent4"/>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8064A2" w:themeColor="accent4"/>
          <w:insideH w:val="nil"/>
          <w:insideV w:val="nil"/>
        </w:tcBorders>
        <w:shd w:val="clear" w:color="auto" w:fill="CEEACA" w:themeFill="background1"/>
      </w:tcPr>
    </w:tblStylePr>
    <w:tblStylePr w:type="lastCol">
      <w:tblPr/>
      <w:tcPr>
        <w:tcBorders>
          <w:top w:val="nil"/>
          <w:left w:val="single" w:sz="8" w:space="0" w:color="8064A2" w:themeColor="accent4"/>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CEEACA"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CEEACA" w:themeFill="background1"/>
      </w:tcPr>
    </w:tblStylePr>
    <w:tblStylePr w:type="lastRow">
      <w:tblPr/>
      <w:tcPr>
        <w:tcBorders>
          <w:top w:val="single" w:sz="8" w:space="0" w:color="4BACC6" w:themeColor="accent5"/>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BACC6" w:themeColor="accent5"/>
          <w:insideH w:val="nil"/>
          <w:insideV w:val="nil"/>
        </w:tcBorders>
        <w:shd w:val="clear" w:color="auto" w:fill="CEEACA" w:themeFill="background1"/>
      </w:tcPr>
    </w:tblStylePr>
    <w:tblStylePr w:type="lastCol">
      <w:tblPr/>
      <w:tcPr>
        <w:tcBorders>
          <w:top w:val="nil"/>
          <w:left w:val="single" w:sz="8" w:space="0" w:color="4BACC6" w:themeColor="accent5"/>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CEEACA"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CEEACA" w:themeFill="background1"/>
      </w:tcPr>
    </w:tblStylePr>
    <w:tblStylePr w:type="lastRow">
      <w:tblPr/>
      <w:tcPr>
        <w:tcBorders>
          <w:top w:val="single" w:sz="8" w:space="0" w:color="F79646" w:themeColor="accent6"/>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F79646" w:themeColor="accent6"/>
          <w:insideH w:val="nil"/>
          <w:insideV w:val="nil"/>
        </w:tcBorders>
        <w:shd w:val="clear" w:color="auto" w:fill="CEEACA" w:themeFill="background1"/>
      </w:tcPr>
    </w:tblStylePr>
    <w:tblStylePr w:type="lastCol">
      <w:tblPr/>
      <w:tcPr>
        <w:tcBorders>
          <w:top w:val="nil"/>
          <w:left w:val="single" w:sz="8" w:space="0" w:color="F79646" w:themeColor="accent6"/>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CEEACA"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EEACA"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CEEACA"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CEEACA"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CEEACA"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CEEACA"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CEEACA"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CEEACA"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C0C0C0" w:themeFill="tex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000000" w:themeFill="tex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000000" w:themeFill="tex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808080" w:themeFill="tex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3DFEE"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F81BD"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F81BD"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F81BD"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F81BD"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7BFDE"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FD3D2" w:themeFill="accent2"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C0504D" w:themeFill="accent2"/>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C0504D" w:themeFill="accent2"/>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C0504D" w:themeFill="accent2"/>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C0504D" w:themeFill="accent2"/>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DFA7A6" w:themeFill="accent2"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6EED5" w:themeFill="accent3"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9BBB59" w:themeFill="accent3"/>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9BBB59" w:themeFill="accent3"/>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9BBB59" w:themeFill="accent3"/>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9BBB59" w:themeFill="accent3"/>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CDDDAC" w:themeFill="accent3"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FD8E8" w:themeFill="accent4"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8064A2" w:themeFill="accent4"/>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8064A2" w:themeFill="accent4"/>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8064A2" w:themeFill="accent4"/>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8064A2" w:themeFill="accent4"/>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BFB1D0" w:themeFill="accent4"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2EAF1" w:themeFill="accent5"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BACC6" w:themeFill="accent5"/>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BACC6" w:themeFill="accent5"/>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BACC6" w:themeFill="accent5"/>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BACC6" w:themeFill="accent5"/>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5D5E2" w:themeFill="accent5"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DE4D0" w:themeFill="accent6"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F79646" w:themeFill="accent6"/>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F79646" w:themeFill="accent6"/>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F79646" w:themeFill="accent6"/>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F79646" w:themeFill="accent6"/>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BCAA2" w:themeFill="accent6"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CEEACA"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EEACA" w:themeColor="background1"/>
          <w:insideH w:val="nil"/>
          <w:insideV w:val="nil"/>
        </w:tcBorders>
        <w:shd w:val="clear" w:color="auto" w:fill="000000" w:themeFill="text1" w:themeFillShade="BF"/>
      </w:tcPr>
    </w:tblStylePr>
    <w:tblStylePr w:type="lastCol">
      <w:tblPr/>
      <w:tcPr>
        <w:tcBorders>
          <w:top w:val="nil"/>
          <w:left w:val="single" w:sz="18" w:space="0" w:color="CEEACA"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CEEACA"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CEEACA" w:themeColor="background1"/>
          <w:insideH w:val="nil"/>
          <w:insideV w:val="nil"/>
        </w:tcBorders>
        <w:shd w:val="clear" w:color="auto" w:fill="365F91" w:themeFill="accent1" w:themeFillShade="BF"/>
      </w:tcPr>
    </w:tblStylePr>
    <w:tblStylePr w:type="lastCol">
      <w:tblPr/>
      <w:tcPr>
        <w:tcBorders>
          <w:top w:val="nil"/>
          <w:left w:val="single" w:sz="18" w:space="0" w:color="CEEACA"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CEEACA"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CEEACA" w:themeColor="background1"/>
          <w:insideH w:val="nil"/>
          <w:insideV w:val="nil"/>
        </w:tcBorders>
        <w:shd w:val="clear" w:color="auto" w:fill="943634" w:themeFill="accent2" w:themeFillShade="BF"/>
      </w:tcPr>
    </w:tblStylePr>
    <w:tblStylePr w:type="lastCol">
      <w:tblPr/>
      <w:tcPr>
        <w:tcBorders>
          <w:top w:val="nil"/>
          <w:left w:val="single" w:sz="18" w:space="0" w:color="CEEACA"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CEEACA"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CEEACA" w:themeColor="background1"/>
          <w:insideH w:val="nil"/>
          <w:insideV w:val="nil"/>
        </w:tcBorders>
        <w:shd w:val="clear" w:color="auto" w:fill="76923C" w:themeFill="accent3" w:themeFillShade="BF"/>
      </w:tcPr>
    </w:tblStylePr>
    <w:tblStylePr w:type="lastCol">
      <w:tblPr/>
      <w:tcPr>
        <w:tcBorders>
          <w:top w:val="nil"/>
          <w:left w:val="single" w:sz="18" w:space="0" w:color="CEEACA"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CEEACA"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CEEACA" w:themeColor="background1"/>
          <w:insideH w:val="nil"/>
          <w:insideV w:val="nil"/>
        </w:tcBorders>
        <w:shd w:val="clear" w:color="auto" w:fill="5F497A" w:themeFill="accent4" w:themeFillShade="BF"/>
      </w:tcPr>
    </w:tblStylePr>
    <w:tblStylePr w:type="lastCol">
      <w:tblPr/>
      <w:tcPr>
        <w:tcBorders>
          <w:top w:val="nil"/>
          <w:left w:val="single" w:sz="18" w:space="0" w:color="CEEACA"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CEEACA"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CEEACA" w:themeColor="background1"/>
          <w:insideH w:val="nil"/>
          <w:insideV w:val="nil"/>
        </w:tcBorders>
        <w:shd w:val="clear" w:color="auto" w:fill="31849B" w:themeFill="accent5" w:themeFillShade="BF"/>
      </w:tcPr>
    </w:tblStylePr>
    <w:tblStylePr w:type="lastCol">
      <w:tblPr/>
      <w:tcPr>
        <w:tcBorders>
          <w:top w:val="nil"/>
          <w:left w:val="single" w:sz="18" w:space="0" w:color="CEEACA"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CEEACA"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CEEACA" w:themeColor="background1"/>
          <w:insideH w:val="nil"/>
          <w:insideV w:val="nil"/>
        </w:tcBorders>
        <w:shd w:val="clear" w:color="auto" w:fill="E36C0A" w:themeFill="accent6" w:themeFillShade="BF"/>
      </w:tcPr>
    </w:tblStylePr>
    <w:tblStylePr w:type="lastCol">
      <w:tblPr/>
      <w:tcPr>
        <w:tcBorders>
          <w:top w:val="nil"/>
          <w:left w:val="single" w:sz="18" w:space="0" w:color="CEEACA"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CEEACA" w:themeColor="background1"/>
        <w:insideV w:val="single" w:sz="4" w:space="0" w:color="CEEACA"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000000" w:themeFill="text1" w:themeFillShade="99"/>
      </w:tcPr>
    </w:tblStylePr>
    <w:tblStylePr w:type="firstCol">
      <w:rPr>
        <w:color w:val="CEEACA"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EEACA"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CEEACA" w:themeColor="background1"/>
        <w:insideV w:val="single" w:sz="4" w:space="0" w:color="CEEACA"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C4C74" w:themeFill="accent1" w:themeFillShade="99"/>
      </w:tcPr>
    </w:tblStylePr>
    <w:tblStylePr w:type="firstCol">
      <w:rPr>
        <w:color w:val="CEEACA"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CEEACA"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CEEACA" w:themeColor="background1"/>
        <w:insideV w:val="single" w:sz="4" w:space="0" w:color="CEEACA"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772C2A" w:themeFill="accent2" w:themeFillShade="99"/>
      </w:tcPr>
    </w:tblStylePr>
    <w:tblStylePr w:type="firstCol">
      <w:rPr>
        <w:color w:val="CEEACA"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CEEACA"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CEEACA" w:themeColor="background1"/>
        <w:insideV w:val="single" w:sz="4" w:space="0" w:color="CEEACA"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5E7530" w:themeFill="accent3" w:themeFillShade="99"/>
      </w:tcPr>
    </w:tblStylePr>
    <w:tblStylePr w:type="firstCol">
      <w:rPr>
        <w:color w:val="CEEACA"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CEEACA"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CEEACA" w:themeColor="background1"/>
        <w:insideV w:val="single" w:sz="4" w:space="0" w:color="CEEACA"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4C3B62" w:themeFill="accent4" w:themeFillShade="99"/>
      </w:tcPr>
    </w:tblStylePr>
    <w:tblStylePr w:type="firstCol">
      <w:rPr>
        <w:color w:val="CEEACA"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CEEACA"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CEEACA" w:themeColor="background1"/>
        <w:insideV w:val="single" w:sz="4" w:space="0" w:color="CEEACA"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76A7C" w:themeFill="accent5" w:themeFillShade="99"/>
      </w:tcPr>
    </w:tblStylePr>
    <w:tblStylePr w:type="firstCol">
      <w:rPr>
        <w:color w:val="CEEACA"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CEEACA"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CEEACA" w:themeColor="background1"/>
        <w:insideV w:val="single" w:sz="4" w:space="0" w:color="CEEACA"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B65608" w:themeFill="accent6" w:themeFillShade="99"/>
      </w:tcPr>
    </w:tblStylePr>
    <w:tblStylePr w:type="firstCol">
      <w:rPr>
        <w:color w:val="CEEACA"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CEEACA"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CEEACA" w:themeColor="background1"/>
      </w:rPr>
      <w:tblPr/>
      <w:tcPr>
        <w:tcBorders>
          <w:bottom w:val="single" w:sz="12" w:space="0" w:color="CEEACA"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CEEACA" w:themeColor="background1"/>
      </w:rPr>
      <w:tblPr/>
      <w:tcPr>
        <w:tcBorders>
          <w:bottom w:val="single" w:sz="12" w:space="0" w:color="CEEACA"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CEEACA" w:themeColor="background1"/>
      </w:rPr>
      <w:tblPr/>
      <w:tcPr>
        <w:tcBorders>
          <w:bottom w:val="single" w:sz="12" w:space="0" w:color="CEEACA"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CEEACA" w:themeColor="background1"/>
      </w:rPr>
      <w:tblPr/>
      <w:tcPr>
        <w:tcBorders>
          <w:bottom w:val="single" w:sz="12" w:space="0" w:color="CEEACA"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CEEACA" w:themeColor="background1"/>
      </w:rPr>
      <w:tblPr/>
      <w:tcPr>
        <w:tcBorders>
          <w:bottom w:val="single" w:sz="12" w:space="0" w:color="CEEACA"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CEEACA" w:themeColor="background1"/>
      </w:rPr>
      <w:tblPr/>
      <w:tcPr>
        <w:tcBorders>
          <w:bottom w:val="single" w:sz="12" w:space="0" w:color="CEEACA"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CEEACA" w:themeColor="background1"/>
      </w:rPr>
      <w:tblPr/>
      <w:tcPr>
        <w:tcBorders>
          <w:bottom w:val="single" w:sz="12" w:space="0" w:color="CEEACA"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CEEACA"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EEACA" w:themeColor="background1"/>
      </w:rPr>
      <w:tblPr/>
      <w:tcPr>
        <w:shd w:val="clear" w:color="auto" w:fill="000000" w:themeFill="text1" w:themeFillShade="BF"/>
      </w:tcPr>
    </w:tblStylePr>
    <w:tblStylePr w:type="lastCol">
      <w:rPr>
        <w:color w:val="CEEACA"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CEEACA"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EEACA" w:themeColor="background1"/>
      </w:rPr>
      <w:tblPr/>
      <w:tcPr>
        <w:shd w:val="clear" w:color="auto" w:fill="365F91" w:themeFill="accent1" w:themeFillShade="BF"/>
      </w:tcPr>
    </w:tblStylePr>
    <w:tblStylePr w:type="lastCol">
      <w:rPr>
        <w:color w:val="CEEACA"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CEEACA"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CEEACA" w:themeColor="background1"/>
      </w:rPr>
      <w:tblPr/>
      <w:tcPr>
        <w:shd w:val="clear" w:color="auto" w:fill="943634" w:themeFill="accent2" w:themeFillShade="BF"/>
      </w:tcPr>
    </w:tblStylePr>
    <w:tblStylePr w:type="lastCol">
      <w:rPr>
        <w:color w:val="CEEACA"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CEEACA"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CEEACA" w:themeColor="background1"/>
      </w:rPr>
      <w:tblPr/>
      <w:tcPr>
        <w:shd w:val="clear" w:color="auto" w:fill="76923C" w:themeFill="accent3" w:themeFillShade="BF"/>
      </w:tcPr>
    </w:tblStylePr>
    <w:tblStylePr w:type="lastCol">
      <w:rPr>
        <w:color w:val="CEEACA"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CEEACA"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CEEACA" w:themeColor="background1"/>
      </w:rPr>
      <w:tblPr/>
      <w:tcPr>
        <w:shd w:val="clear" w:color="auto" w:fill="5F497A" w:themeFill="accent4" w:themeFillShade="BF"/>
      </w:tcPr>
    </w:tblStylePr>
    <w:tblStylePr w:type="lastCol">
      <w:rPr>
        <w:color w:val="CEEACA"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CEEACA"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CEEACA" w:themeColor="background1"/>
      </w:rPr>
      <w:tblPr/>
      <w:tcPr>
        <w:shd w:val="clear" w:color="auto" w:fill="31849B" w:themeFill="accent5" w:themeFillShade="BF"/>
      </w:tcPr>
    </w:tblStylePr>
    <w:tblStylePr w:type="lastCol">
      <w:rPr>
        <w:color w:val="CEEACA"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CEEACA"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CEEACA" w:themeColor="background1"/>
      </w:rPr>
      <w:tblPr/>
      <w:tcPr>
        <w:shd w:val="clear" w:color="auto" w:fill="E36C0A" w:themeFill="accent6" w:themeFillShade="BF"/>
      </w:tcPr>
    </w:tblStylePr>
    <w:tblStylePr w:type="lastCol">
      <w:rPr>
        <w:color w:val="CEEACA"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1028</Words>
  <Characters>6622</Characters>
  <Application>Microsoft Office Word</Application>
  <DocSecurity>0</DocSecurity>
  <Lines>150</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ARRIVE 2.0 Author Checklist - Arginine RMCs</dc:title>
  <dc:subject/>
  <dc:creator>OpenAI</dc:creator>
  <cp:keywords/>
  <dc:description>generated by python-docx</dc:description>
  <cp:lastModifiedBy>Vostro</cp:lastModifiedBy>
  <cp:revision>2</cp:revision>
  <dcterms:created xsi:type="dcterms:W3CDTF">2013-12-23T23:15:00Z</dcterms:created>
  <dcterms:modified xsi:type="dcterms:W3CDTF">2026-05-20T06:28:00Z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76de9826-2616-4e3c-ad68-20456c114f89</vt:lpwstr>
  </property>
</Properties>
</file>